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676" w:rsidRDefault="00557676" w:rsidP="00591031">
      <w:pPr>
        <w:pStyle w:val="ListParagraph"/>
        <w:jc w:val="center"/>
        <w:rPr>
          <w:b/>
          <w:u w:val="single"/>
        </w:rPr>
      </w:pPr>
    </w:p>
    <w:p w:rsidR="00557676" w:rsidRDefault="00557676" w:rsidP="00591031">
      <w:pPr>
        <w:pStyle w:val="ListParagraph"/>
        <w:jc w:val="center"/>
        <w:rPr>
          <w:b/>
          <w:u w:val="single"/>
        </w:rPr>
      </w:pPr>
    </w:p>
    <w:p w:rsidR="00DC502A" w:rsidRPr="00241FCB" w:rsidRDefault="00557676" w:rsidP="00591031">
      <w:pPr>
        <w:pStyle w:val="ListParagraph"/>
        <w:jc w:val="center"/>
        <w:rPr>
          <w:b/>
          <w:u w:val="single"/>
        </w:rPr>
      </w:pPr>
      <w:r>
        <w:rPr>
          <w:b/>
          <w:u w:val="single"/>
        </w:rPr>
        <w:t>Inquiry Rough Draft</w:t>
      </w:r>
    </w:p>
    <w:p w:rsidR="004A7055" w:rsidRDefault="00591031" w:rsidP="00591031">
      <w:pPr>
        <w:spacing w:line="480" w:lineRule="auto"/>
        <w:ind w:firstLine="720"/>
      </w:pPr>
      <w:r>
        <w:t xml:space="preserve"> </w:t>
      </w:r>
      <w:r w:rsidR="00A13E4D">
        <w:t>“Separate Is Not Equal.”</w:t>
      </w:r>
      <w:r w:rsidR="00FF3F41">
        <w:t xml:space="preserve"> Landmark civil rights case, Brown v. Board of Education, overruled the 1896 Plessy v. Ferguson court ruling. This historic decision is known as a great milestone in United States history. In </w:t>
      </w:r>
      <w:r w:rsidR="00C404CD">
        <w:t xml:space="preserve">federal government </w:t>
      </w:r>
      <w:r w:rsidR="00FF3F41">
        <w:t>efforts to integrate United State’s public school systems,</w:t>
      </w:r>
      <w:r w:rsidR="00B0633D">
        <w:t xml:space="preserve"> it</w:t>
      </w:r>
      <w:r w:rsidR="00C404CD">
        <w:t xml:space="preserve"> resulted in</w:t>
      </w:r>
      <w:r w:rsidR="002650B2">
        <w:t xml:space="preserve"> much opposition. S</w:t>
      </w:r>
      <w:r w:rsidR="000D05ED">
        <w:t xml:space="preserve">egregationists were not pleased with the federal government ruling, which led to a massive resistance from state and local governments. Although </w:t>
      </w:r>
      <w:r w:rsidR="00C404CD">
        <w:t>Massive Resistance was a response of state government resisting federal government,</w:t>
      </w:r>
      <w:r w:rsidR="00E4047B">
        <w:t xml:space="preserve"> two examples of the tension</w:t>
      </w:r>
      <w:r w:rsidR="00100433">
        <w:t xml:space="preserve"> is</w:t>
      </w:r>
      <w:r w:rsidR="00E823C2">
        <w:t xml:space="preserve"> seen in</w:t>
      </w:r>
      <w:r w:rsidR="00C404CD">
        <w:t xml:space="preserve"> Governor Orv</w:t>
      </w:r>
      <w:r w:rsidR="00100433">
        <w:t>al Faubus speech in 1958.</w:t>
      </w:r>
      <w:r w:rsidR="00C404CD">
        <w:t xml:space="preserve"> Through t</w:t>
      </w:r>
      <w:r w:rsidR="00100433">
        <w:t>his document</w:t>
      </w:r>
      <w:r w:rsidR="00E4047B">
        <w:t>,</w:t>
      </w:r>
      <w:r w:rsidR="000D29DF">
        <w:t xml:space="preserve"> </w:t>
      </w:r>
      <w:r w:rsidR="00100433">
        <w:t>the governor</w:t>
      </w:r>
      <w:r>
        <w:t xml:space="preserve"> </w:t>
      </w:r>
      <w:r w:rsidR="00B0633D">
        <w:t>advocate</w:t>
      </w:r>
      <w:r w:rsidR="00E01DEC">
        <w:t>s</w:t>
      </w:r>
      <w:r w:rsidR="00E4047B">
        <w:t xml:space="preserve"> for state</w:t>
      </w:r>
      <w:r w:rsidR="00B0633D">
        <w:t xml:space="preserve"> </w:t>
      </w:r>
      <w:r w:rsidR="002650B2">
        <w:t>rights, and make little to no</w:t>
      </w:r>
      <w:r>
        <w:t xml:space="preserve"> effort</w:t>
      </w:r>
      <w:r w:rsidR="00B0633D">
        <w:t xml:space="preserve"> to</w:t>
      </w:r>
      <w:r w:rsidR="000D29DF">
        <w:t xml:space="preserve"> follow federal orders to</w:t>
      </w:r>
      <w:r w:rsidR="00B0633D">
        <w:t xml:space="preserve"> </w:t>
      </w:r>
      <w:r w:rsidR="000D29DF">
        <w:t>integrate schools</w:t>
      </w:r>
      <w:r w:rsidR="002650B2">
        <w:t xml:space="preserve"> with “deliberate speed.”</w:t>
      </w:r>
      <w:r w:rsidR="00B0633D">
        <w:t xml:space="preserve"> </w:t>
      </w:r>
      <w:r w:rsidR="004E6CEB">
        <w:t>However, not all states opposed the federal decision. A counterargument is seen in the southern state of Virginia Governor Thomas B. Stanely</w:t>
      </w:r>
      <w:r w:rsidR="0013202A">
        <w:t>’s</w:t>
      </w:r>
      <w:r w:rsidR="004E6CEB">
        <w:t xml:space="preserve"> response. </w:t>
      </w:r>
    </w:p>
    <w:p w:rsidR="00E823C2" w:rsidRDefault="00E823C2" w:rsidP="0035339A">
      <w:pPr>
        <w:rPr>
          <w:b/>
        </w:rPr>
      </w:pPr>
      <w:r w:rsidRPr="004A7055">
        <w:rPr>
          <w:b/>
        </w:rPr>
        <w:t>Historical Context:</w:t>
      </w:r>
    </w:p>
    <w:p w:rsidR="003165F0" w:rsidRDefault="00AC4D2C" w:rsidP="00D70509">
      <w:pPr>
        <w:spacing w:line="480" w:lineRule="auto"/>
        <w:ind w:firstLine="720"/>
      </w:pPr>
      <w:r>
        <w:t>During the Jim Crow Era, African Americans were often treated differently from whites and were victims to racial discrimination and hate. Especially in the South, states created laws that would legally, physically, and socially keep African Americans separate from whites. Those laws denied blacks to have rights to public facilities, schools, transportation, employment, and more.  In 1892, a</w:t>
      </w:r>
      <w:r w:rsidR="00E91BB1">
        <w:t>n</w:t>
      </w:r>
      <w:r>
        <w:t xml:space="preserve"> African American ma</w:t>
      </w:r>
      <w:r w:rsidR="00E91BB1">
        <w:t>n named Homer Plessy refused to give up his seat to a white man on a train in New Orleans. Since it was required in the Louisiana State Law for African Americans to do that, Plessy was arrested. Shortly after his arrest, Plessy contended the Louisiana law separating blacks and whites on public transportation. His argument was that separating blacks and whites violated the “equal protection clause” of the fourtee</w:t>
      </w:r>
      <w:r w:rsidR="007E4F41">
        <w:t>nth Amendment. In 1896, his case</w:t>
      </w:r>
      <w:r w:rsidR="00E91BB1">
        <w:t xml:space="preserve"> made it </w:t>
      </w:r>
      <w:r w:rsidR="007E4F41">
        <w:t xml:space="preserve">to the Supreme Court </w:t>
      </w:r>
      <w:r w:rsidR="00E91BB1">
        <w:t xml:space="preserve">and by vote of 8 to 1, the U. S. Supreme Court upheld the Louisiana state law and stated that “equal but separate” is </w:t>
      </w:r>
      <w:r w:rsidR="00E91BB1">
        <w:lastRenderedPageBreak/>
        <w:t>constitutional. Following the Supreme Court’s</w:t>
      </w:r>
      <w:r w:rsidR="007E4F41">
        <w:t xml:space="preserve"> decision</w:t>
      </w:r>
      <w:r w:rsidR="00E91BB1">
        <w:t xml:space="preserve">, </w:t>
      </w:r>
      <w:r w:rsidR="007E4F41">
        <w:t xml:space="preserve">African Americans in the south continued to be victimized by racial discrimination and segregation. </w:t>
      </w:r>
    </w:p>
    <w:p w:rsidR="00DF4ACB" w:rsidRDefault="007E4F41" w:rsidP="00591031">
      <w:pPr>
        <w:spacing w:line="480" w:lineRule="auto"/>
        <w:ind w:firstLine="720"/>
      </w:pPr>
      <w:r>
        <w:t xml:space="preserve">Regardless of the racial injustices and Jim Crow laws, African Americans continued to push for justice. </w:t>
      </w:r>
      <w:r w:rsidR="00FC413A">
        <w:t xml:space="preserve">Throughout the south, blacks joined together to fight for racial equality. As a result, several court cases </w:t>
      </w:r>
      <w:r w:rsidR="00DF4ACB">
        <w:t>came on the rise.</w:t>
      </w:r>
      <w:r w:rsidR="00FC413A">
        <w:t xml:space="preserve"> One case in particular was the Brown v Board of Education. Originally the case was comprised of five court cases: Brown v. Board of Education of Topeka, Kansas, Briggs v. Elliot, Davis v. Board of Education of Prince Edward County Virginia, Boiling v. Sharpe, and Gebhart v. Ethel.</w:t>
      </w:r>
      <w:r w:rsidR="00DF4ACB">
        <w:t xml:space="preserve"> However, the five cases were all filed separately; they all focused on the issue of segregation of public schools. Once the five cases reached the Supreme Court, in 1952 the court decided to comprise all of them under the name of Brown v. Board of Education. </w:t>
      </w:r>
    </w:p>
    <w:p w:rsidR="006A65A2" w:rsidRDefault="006A65A2" w:rsidP="00591031">
      <w:pPr>
        <w:spacing w:line="480" w:lineRule="auto"/>
        <w:ind w:firstLine="720"/>
      </w:pPr>
      <w:r>
        <w:t xml:space="preserve">The plaintiff in the Brown v. Board of Education case was Oliver Brown. He was an African American man who lived in an integrated neighborhood in Topeka, Kansas. His daughter Linda Brown was not allowed to attend the segregated white school near her home. Instead she was forced to travel a further distance to a black segregated school. Oliver Brown tried to enroll his daughter Linda in the </w:t>
      </w:r>
      <w:r w:rsidR="008309C0">
        <w:t>white school near her home. However, his daughter was</w:t>
      </w:r>
      <w:r>
        <w:t xml:space="preserve"> denied school enrollment based on the premises of </w:t>
      </w:r>
      <w:r w:rsidR="008309C0">
        <w:t xml:space="preserve">her skin color. The case was led by a young African American lawyer named Thurgood Marshall and the NAACP legal defense team. </w:t>
      </w:r>
    </w:p>
    <w:p w:rsidR="008309C0" w:rsidRDefault="008309C0" w:rsidP="00591031">
      <w:pPr>
        <w:spacing w:line="480" w:lineRule="auto"/>
        <w:ind w:firstLine="720"/>
      </w:pPr>
      <w:r>
        <w:t xml:space="preserve">After a long road of fighting racial segregation, in 1954 Chief Justice Warren delivered the opinion of the court. In the opinion he stated that, “Segregation of white and colored children in public schools has a detrimental effect upon the colored children… We conclude that, in the field of public education, the doctrine of “separate but equal” has no place. Separate educational facilities are inherently unequal.” (document) Following the court’s decision, attorney generals met to devise a plan on how the decision would proceed. They decided that desegregation must proceed with “all deliberate </w:t>
      </w:r>
      <w:r>
        <w:lastRenderedPageBreak/>
        <w:t>speed.” As a result, of the court’s ruling, it was f</w:t>
      </w:r>
      <w:r w:rsidR="00234EBA">
        <w:t>ollowed by great opposition and a period of</w:t>
      </w:r>
      <w:r w:rsidR="00E41CE2">
        <w:t xml:space="preserve"> Massive Resistance from state </w:t>
      </w:r>
      <w:r w:rsidR="00234EBA">
        <w:t xml:space="preserve">and local governments. </w:t>
      </w:r>
      <w:r w:rsidR="00E41CE2">
        <w:t>In</w:t>
      </w:r>
      <w:r w:rsidR="00B53F45">
        <w:t xml:space="preserve"> the state of Arkansas, Gove</w:t>
      </w:r>
      <w:r w:rsidR="00721C1E">
        <w:t>r</w:t>
      </w:r>
      <w:r w:rsidR="00B53F45">
        <w:t>nor</w:t>
      </w:r>
      <w:r w:rsidR="00E41CE2">
        <w:t xml:space="preserve"> Orval Faubus </w:t>
      </w:r>
    </w:p>
    <w:p w:rsidR="00591031" w:rsidRDefault="00DA7827" w:rsidP="00DA7827">
      <w:pPr>
        <w:spacing w:line="480" w:lineRule="auto"/>
        <w:rPr>
          <w:b/>
        </w:rPr>
      </w:pPr>
      <w:r w:rsidRPr="00DA7827">
        <w:rPr>
          <w:b/>
        </w:rPr>
        <w:t>Analysis</w:t>
      </w:r>
      <w:r>
        <w:rPr>
          <w:b/>
        </w:rPr>
        <w:t>:</w:t>
      </w:r>
      <w:r w:rsidR="004C788A">
        <w:rPr>
          <w:b/>
        </w:rPr>
        <w:t xml:space="preserve"> </w:t>
      </w:r>
    </w:p>
    <w:p w:rsidR="00527DC2" w:rsidRDefault="00B44C78" w:rsidP="00100433">
      <w:pPr>
        <w:spacing w:line="480" w:lineRule="auto"/>
        <w:ind w:firstLine="720"/>
      </w:pPr>
      <w:r>
        <w:t>Aft</w:t>
      </w:r>
      <w:r w:rsidR="00100433">
        <w:t>er reading Gov. Orval Faubus</w:t>
      </w:r>
      <w:r w:rsidR="00DA7827">
        <w:t xml:space="preserve"> reaction to the Brown v. Board of Education rulin</w:t>
      </w:r>
      <w:r w:rsidR="002650B2">
        <w:t>g, two</w:t>
      </w:r>
      <w:r w:rsidR="005F337B">
        <w:t xml:space="preserve"> inferences can be made:</w:t>
      </w:r>
      <w:r>
        <w:t xml:space="preserve"> the</w:t>
      </w:r>
      <w:r w:rsidR="00DA7827">
        <w:t xml:space="preserve"> </w:t>
      </w:r>
      <w:r w:rsidR="00100433">
        <w:t>governor</w:t>
      </w:r>
      <w:r w:rsidR="002C27FB">
        <w:t xml:space="preserve"> </w:t>
      </w:r>
      <w:r w:rsidR="00100433">
        <w:t>pushes his claim</w:t>
      </w:r>
      <w:r w:rsidR="002C27FB">
        <w:t xml:space="preserve"> </w:t>
      </w:r>
      <w:r>
        <w:t>for state rights</w:t>
      </w:r>
      <w:r w:rsidR="002650B2">
        <w:t>, and mak</w:t>
      </w:r>
      <w:r w:rsidR="002C27FB">
        <w:t>e little</w:t>
      </w:r>
      <w:r w:rsidR="000D29DF">
        <w:t xml:space="preserve"> to no</w:t>
      </w:r>
      <w:r w:rsidR="002C27FB">
        <w:t xml:space="preserve"> effort to</w:t>
      </w:r>
      <w:r w:rsidR="000D29DF">
        <w:t xml:space="preserve"> follow federal orders to</w:t>
      </w:r>
      <w:r w:rsidR="002C27FB">
        <w:t xml:space="preserve"> integrate schools with “deliberate speed.”</w:t>
      </w:r>
      <w:r>
        <w:t xml:space="preserve"> </w:t>
      </w:r>
      <w:r w:rsidR="00965F70">
        <w:t>For the</w:t>
      </w:r>
      <w:r w:rsidR="002650B2">
        <w:t xml:space="preserve"> first inference</w:t>
      </w:r>
      <w:r w:rsidR="00100433">
        <w:t xml:space="preserve"> concerning the state’s rights to control public schools, governor Orval furiously denounces federal government’s decision. </w:t>
      </w:r>
      <w:r w:rsidR="002650B2">
        <w:t xml:space="preserve"> </w:t>
      </w:r>
      <w:r w:rsidR="000D29DF">
        <w:t xml:space="preserve">In Governor </w:t>
      </w:r>
      <w:r w:rsidR="00100433">
        <w:t>Orval Faubus response, he states</w:t>
      </w:r>
      <w:r w:rsidR="000D29DF">
        <w:t>, “I was not elected Governor of Arkansas to surrender all our rights as citizens to an all- powerful federal autocracy…It is my responsibility, and it is my purpose and determination, to defend the constitutional rights of the people of Arkansas to the full extent of my ability.”</w:t>
      </w:r>
      <w:r w:rsidR="00792EA8">
        <w:t>In Governor Orval’</w:t>
      </w:r>
      <w:r w:rsidR="00AF09B8">
        <w:t xml:space="preserve">s </w:t>
      </w:r>
      <w:r w:rsidR="00792EA8">
        <w:t>claim on state rights, he passionately expresses his discontent with the federal government. As a political tactic, the Governor carefully selected words</w:t>
      </w:r>
      <w:r w:rsidR="000D072D">
        <w:t xml:space="preserve"> </w:t>
      </w:r>
      <w:r w:rsidR="00792EA8">
        <w:t>that would</w:t>
      </w:r>
      <w:r w:rsidR="000D072D">
        <w:t xml:space="preserve"> appeal to his audience and to the majority in the state of Arkansas. His choice to fight for state rights reflects his opposition to federal govern</w:t>
      </w:r>
      <w:r w:rsidR="00D53A83">
        <w:t>ment mandate on desegregation of</w:t>
      </w:r>
      <w:r w:rsidR="000D072D">
        <w:t xml:space="preserve"> schools</w:t>
      </w:r>
      <w:r w:rsidR="00D53A83">
        <w:t>. Although Governor Orval may have pushed for state rights as a political movement,</w:t>
      </w:r>
      <w:r w:rsidR="00100433">
        <w:t xml:space="preserve"> however</w:t>
      </w:r>
      <w:r w:rsidR="00D53A83">
        <w:t xml:space="preserve"> deep beneath the surface</w:t>
      </w:r>
      <w:r w:rsidR="00100433">
        <w:t xml:space="preserve"> </w:t>
      </w:r>
      <w:r w:rsidR="00E01DEC">
        <w:t>laid</w:t>
      </w:r>
      <w:r w:rsidR="00100433">
        <w:t xml:space="preserve"> </w:t>
      </w:r>
      <w:r w:rsidR="00D53A83">
        <w:t>a racist politician. His enforcement on state r</w:t>
      </w:r>
      <w:r w:rsidR="00100433">
        <w:t>ights was</w:t>
      </w:r>
      <w:r w:rsidR="009A1EE6">
        <w:t xml:space="preserve"> another way for him to</w:t>
      </w:r>
      <w:r w:rsidR="00D53A83">
        <w:t xml:space="preserve"> justify racism, unequal laws, and segregation. </w:t>
      </w:r>
    </w:p>
    <w:p w:rsidR="00E01DEC" w:rsidRDefault="00E01DEC" w:rsidP="00100433">
      <w:pPr>
        <w:spacing w:line="480" w:lineRule="auto"/>
        <w:ind w:firstLine="720"/>
      </w:pPr>
      <w:r>
        <w:t xml:space="preserve">The second inference that can be made </w:t>
      </w:r>
      <w:r w:rsidR="009A1EE6">
        <w:t>is that he made little to no efforts to follow federal laws to integrate public schools. In</w:t>
      </w:r>
    </w:p>
    <w:p w:rsidR="00100433" w:rsidRDefault="00100433" w:rsidP="00100433">
      <w:pPr>
        <w:spacing w:line="480" w:lineRule="auto"/>
        <w:ind w:firstLine="720"/>
      </w:pPr>
    </w:p>
    <w:p w:rsidR="008729B5" w:rsidRDefault="008729B5" w:rsidP="00591031">
      <w:pPr>
        <w:spacing w:line="480" w:lineRule="auto"/>
        <w:ind w:firstLine="720"/>
      </w:pPr>
    </w:p>
    <w:p w:rsidR="008729B5" w:rsidRDefault="008729B5" w:rsidP="00591031">
      <w:pPr>
        <w:spacing w:line="480" w:lineRule="auto"/>
        <w:ind w:firstLine="720"/>
      </w:pPr>
    </w:p>
    <w:p w:rsidR="008729B5" w:rsidRDefault="008729B5" w:rsidP="00591031">
      <w:pPr>
        <w:spacing w:line="480" w:lineRule="auto"/>
        <w:ind w:firstLine="720"/>
      </w:pPr>
    </w:p>
    <w:p w:rsidR="008729B5" w:rsidRDefault="008729B5" w:rsidP="00591031">
      <w:pPr>
        <w:spacing w:line="480" w:lineRule="auto"/>
        <w:ind w:firstLine="720"/>
      </w:pPr>
    </w:p>
    <w:p w:rsidR="008729B5" w:rsidRDefault="008729B5" w:rsidP="00591031">
      <w:pPr>
        <w:spacing w:line="480" w:lineRule="auto"/>
        <w:ind w:firstLine="720"/>
      </w:pPr>
    </w:p>
    <w:p w:rsidR="008729B5" w:rsidRDefault="008729B5" w:rsidP="00591031">
      <w:pPr>
        <w:spacing w:line="480" w:lineRule="auto"/>
        <w:ind w:firstLine="720"/>
      </w:pPr>
    </w:p>
    <w:p w:rsidR="008729B5" w:rsidRDefault="008729B5" w:rsidP="00591031">
      <w:pPr>
        <w:spacing w:line="480" w:lineRule="auto"/>
        <w:ind w:firstLine="720"/>
      </w:pPr>
    </w:p>
    <w:p w:rsidR="008729B5" w:rsidRDefault="008729B5" w:rsidP="008729B5">
      <w:pPr>
        <w:spacing w:line="480" w:lineRule="auto"/>
      </w:pPr>
    </w:p>
    <w:p w:rsidR="008729B5" w:rsidRDefault="008729B5" w:rsidP="00591031">
      <w:pPr>
        <w:spacing w:line="480" w:lineRule="auto"/>
        <w:ind w:firstLine="720"/>
      </w:pPr>
    </w:p>
    <w:p w:rsidR="008729B5" w:rsidRDefault="008729B5" w:rsidP="00591031">
      <w:pPr>
        <w:spacing w:line="480" w:lineRule="auto"/>
        <w:ind w:firstLine="720"/>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E01DEC" w:rsidRDefault="00E01DEC" w:rsidP="008729B5">
      <w:pPr>
        <w:spacing w:line="480" w:lineRule="auto"/>
        <w:jc w:val="center"/>
        <w:rPr>
          <w:b/>
          <w:u w:val="single"/>
        </w:rPr>
      </w:pPr>
    </w:p>
    <w:p w:rsidR="00F23CF2" w:rsidRDefault="00A132DD" w:rsidP="008729B5">
      <w:pPr>
        <w:spacing w:line="480" w:lineRule="auto"/>
        <w:jc w:val="center"/>
        <w:rPr>
          <w:rFonts w:ascii="Verdana" w:hAnsi="Verdana"/>
          <w:color w:val="514F26"/>
          <w:sz w:val="15"/>
          <w:szCs w:val="15"/>
        </w:rPr>
      </w:pPr>
      <w:r w:rsidRPr="00A132DD">
        <w:rPr>
          <w:b/>
          <w:u w:val="single"/>
        </w:rPr>
        <w:t>Works Cited</w:t>
      </w:r>
    </w:p>
    <w:p w:rsidR="00F23CF2" w:rsidRPr="008A08C7" w:rsidRDefault="00F23CF2" w:rsidP="00F23CF2">
      <w:pPr>
        <w:spacing w:line="480" w:lineRule="auto"/>
        <w:ind w:firstLine="720"/>
        <w:rPr>
          <w:rFonts w:ascii="Times New Roman" w:hAnsi="Times New Roman"/>
          <w:sz w:val="20"/>
          <w:szCs w:val="20"/>
        </w:rPr>
      </w:pPr>
      <w:r w:rsidRPr="008A08C7">
        <w:rPr>
          <w:rFonts w:ascii="Times New Roman" w:hAnsi="Times New Roman"/>
          <w:sz w:val="20"/>
          <w:szCs w:val="20"/>
        </w:rPr>
        <w:t xml:space="preserve">University of Arkansas Special Collections Library, "Speech of Governor Orval E. Faubus, September 18, 1958." Last modified 2008. Accessed September 25, 2012. </w:t>
      </w:r>
      <w:hyperlink r:id="rId8" w:history="1">
        <w:r w:rsidRPr="008A08C7">
          <w:rPr>
            <w:rStyle w:val="Hyperlink"/>
            <w:rFonts w:ascii="Times New Roman" w:hAnsi="Times New Roman"/>
            <w:sz w:val="20"/>
            <w:szCs w:val="20"/>
          </w:rPr>
          <w:t>http://scipio.uark.edu/civilrights/lessonplans/FaubusSpeechLessonPlan.pdf</w:t>
        </w:r>
      </w:hyperlink>
      <w:r w:rsidRPr="008A08C7">
        <w:rPr>
          <w:rFonts w:ascii="Times New Roman" w:hAnsi="Times New Roman"/>
          <w:sz w:val="20"/>
          <w:szCs w:val="20"/>
        </w:rPr>
        <w:t>.</w:t>
      </w:r>
    </w:p>
    <w:p w:rsidR="008729B5" w:rsidRPr="008A08C7" w:rsidRDefault="008729B5" w:rsidP="00F23CF2">
      <w:pPr>
        <w:spacing w:line="480" w:lineRule="auto"/>
        <w:ind w:firstLine="720"/>
        <w:rPr>
          <w:rFonts w:ascii="Times New Roman" w:hAnsi="Times New Roman"/>
          <w:sz w:val="20"/>
          <w:szCs w:val="20"/>
        </w:rPr>
      </w:pPr>
      <w:r w:rsidRPr="008A08C7">
        <w:rPr>
          <w:rFonts w:ascii="Times New Roman" w:hAnsi="Times New Roman"/>
          <w:sz w:val="20"/>
          <w:szCs w:val="20"/>
        </w:rPr>
        <w:t xml:space="preserve">Edward L., Rankin. "Reaction to Brown and establishment of Pearsall group." </w:t>
      </w:r>
      <w:r w:rsidRPr="008A08C7">
        <w:rPr>
          <w:rStyle w:val="Emphasis"/>
          <w:rFonts w:ascii="Times New Roman" w:hAnsi="Times New Roman"/>
          <w:sz w:val="20"/>
          <w:szCs w:val="20"/>
        </w:rPr>
        <w:t>Oral History of the American South</w:t>
      </w:r>
      <w:r w:rsidRPr="008A08C7">
        <w:rPr>
          <w:rFonts w:ascii="Times New Roman" w:hAnsi="Times New Roman"/>
          <w:sz w:val="20"/>
          <w:szCs w:val="20"/>
        </w:rPr>
        <w:t>, August 12, 1987. September 25, 2012. http://docsouth.unc.edu/sohp/C-0044/menu.html.</w:t>
      </w:r>
    </w:p>
    <w:p w:rsidR="00F23CF2" w:rsidRPr="008A08C7" w:rsidRDefault="00FD3CAA" w:rsidP="00F23CF2">
      <w:pPr>
        <w:spacing w:line="480" w:lineRule="auto"/>
        <w:ind w:firstLine="720"/>
        <w:rPr>
          <w:rFonts w:ascii="Times New Roman" w:hAnsi="Times New Roman"/>
          <w:sz w:val="20"/>
          <w:szCs w:val="20"/>
        </w:rPr>
      </w:pPr>
      <w:r w:rsidRPr="008A08C7">
        <w:rPr>
          <w:rFonts w:ascii="Times New Roman" w:hAnsi="Times New Roman"/>
          <w:sz w:val="20"/>
          <w:szCs w:val="20"/>
        </w:rPr>
        <w:t xml:space="preserve">National Center For Public Policy Research, "Supreme Court of the United States: Brown v. Board of Education, 347 U.S. 483 (1954) (USSC )." Accessed September 25, 2012. </w:t>
      </w:r>
      <w:hyperlink r:id="rId9" w:history="1">
        <w:r w:rsidR="009A6860" w:rsidRPr="008A08C7">
          <w:rPr>
            <w:rStyle w:val="Hyperlink"/>
            <w:rFonts w:ascii="Times New Roman" w:hAnsi="Times New Roman"/>
            <w:sz w:val="20"/>
            <w:szCs w:val="20"/>
          </w:rPr>
          <w:t>http://www.nationalcenter.org/brown.html</w:t>
        </w:r>
      </w:hyperlink>
      <w:r w:rsidRPr="008A08C7">
        <w:rPr>
          <w:rFonts w:ascii="Times New Roman" w:hAnsi="Times New Roman"/>
          <w:sz w:val="20"/>
          <w:szCs w:val="20"/>
        </w:rPr>
        <w:t>.</w:t>
      </w:r>
    </w:p>
    <w:p w:rsidR="009A6860" w:rsidRPr="008A08C7" w:rsidRDefault="009A6860" w:rsidP="00F23CF2">
      <w:pPr>
        <w:spacing w:line="480" w:lineRule="auto"/>
        <w:ind w:firstLine="720"/>
        <w:rPr>
          <w:rFonts w:ascii="Times New Roman" w:hAnsi="Times New Roman"/>
          <w:sz w:val="20"/>
          <w:szCs w:val="20"/>
        </w:rPr>
      </w:pPr>
      <w:r w:rsidRPr="008A08C7">
        <w:rPr>
          <w:rFonts w:ascii="Times New Roman" w:hAnsi="Times New Roman"/>
          <w:sz w:val="20"/>
          <w:szCs w:val="20"/>
        </w:rPr>
        <w:t xml:space="preserve">Administrative Office of the U.S. Courts, "History of Brown v. Board of Education." Accessed September 27, 2012. </w:t>
      </w:r>
      <w:hyperlink r:id="rId10" w:history="1">
        <w:r w:rsidR="008A08C7" w:rsidRPr="008A08C7">
          <w:rPr>
            <w:rStyle w:val="Hyperlink"/>
            <w:rFonts w:ascii="Times New Roman" w:hAnsi="Times New Roman"/>
            <w:sz w:val="20"/>
            <w:szCs w:val="20"/>
          </w:rPr>
          <w:t>http://www.uscourts.gov/EducationalResources/ConstitutionResources/LegalLandmarks/HistoryOfBrownVBoardOfEducation.aspx</w:t>
        </w:r>
      </w:hyperlink>
      <w:r w:rsidRPr="008A08C7">
        <w:rPr>
          <w:rFonts w:ascii="Times New Roman" w:hAnsi="Times New Roman"/>
          <w:sz w:val="20"/>
          <w:szCs w:val="20"/>
        </w:rPr>
        <w:t>.</w:t>
      </w:r>
    </w:p>
    <w:p w:rsidR="00D422BC" w:rsidRPr="008A08C7" w:rsidRDefault="008A08C7" w:rsidP="008A08C7">
      <w:pPr>
        <w:spacing w:after="0" w:line="360" w:lineRule="auto"/>
        <w:ind w:left="720" w:hanging="720"/>
        <w:rPr>
          <w:rFonts w:ascii="Times New Roman" w:eastAsia="Times New Roman" w:hAnsi="Times New Roman" w:cs="Times New Roman"/>
          <w:sz w:val="20"/>
          <w:szCs w:val="20"/>
        </w:rPr>
      </w:pPr>
      <w:r w:rsidRPr="008A08C7">
        <w:rPr>
          <w:rFonts w:ascii="Times New Roman" w:eastAsia="Times New Roman" w:hAnsi="Times New Roman" w:cs="Times New Roman"/>
          <w:sz w:val="20"/>
          <w:szCs w:val="20"/>
        </w:rPr>
        <w:t xml:space="preserve">Library of Virginia, "Governor Thomas B. Stanley response to the United States Supreme Court decision in Brown v. Board of Education." Accessed September 25, 2012. http://www.virginiamemory.com/docs/Stanley_Speech_trans.pdf. </w:t>
      </w:r>
      <w:r w:rsidR="00D422BC">
        <w:tab/>
      </w:r>
    </w:p>
    <w:p w:rsidR="00E823C2" w:rsidRDefault="008729B5" w:rsidP="0035339A">
      <w:r>
        <w:t>For Footnotes:</w:t>
      </w:r>
    </w:p>
    <w:p w:rsidR="007F6E9A" w:rsidRPr="008A08C7" w:rsidRDefault="007F6E9A" w:rsidP="0035339A">
      <w:pPr>
        <w:rPr>
          <w:color w:val="333333"/>
          <w:spacing w:val="23"/>
          <w:sz w:val="14"/>
          <w:szCs w:val="14"/>
        </w:rPr>
      </w:pPr>
      <w:r>
        <w:rPr>
          <w:color w:val="333333"/>
          <w:spacing w:val="23"/>
          <w:sz w:val="14"/>
          <w:szCs w:val="14"/>
        </w:rPr>
        <w:t xml:space="preserve">Rankin Edward L., interview by Jay Jenkins, "Reaction to Brown and establishment of Pearsall group," </w:t>
      </w:r>
      <w:r>
        <w:rPr>
          <w:rStyle w:val="Emphasis"/>
          <w:color w:val="333333"/>
          <w:spacing w:val="23"/>
          <w:sz w:val="14"/>
          <w:szCs w:val="14"/>
        </w:rPr>
        <w:t>Oral History of the American South</w:t>
      </w:r>
      <w:r>
        <w:rPr>
          <w:color w:val="333333"/>
          <w:spacing w:val="23"/>
          <w:sz w:val="14"/>
          <w:szCs w:val="14"/>
        </w:rPr>
        <w:t xml:space="preserve">, Podcast Audio, August 12, 1987, September 25, 2012, </w:t>
      </w:r>
      <w:hyperlink r:id="rId11" w:history="1">
        <w:r w:rsidRPr="00D404CA">
          <w:rPr>
            <w:rStyle w:val="Hyperlink"/>
            <w:spacing w:val="23"/>
            <w:sz w:val="14"/>
            <w:szCs w:val="14"/>
          </w:rPr>
          <w:t>http://docsouth.unc.edu/sohp/C-0044/menu.html</w:t>
        </w:r>
      </w:hyperlink>
      <w:r>
        <w:rPr>
          <w:color w:val="333333"/>
          <w:spacing w:val="23"/>
          <w:sz w:val="14"/>
          <w:szCs w:val="14"/>
        </w:rPr>
        <w:t>.</w:t>
      </w:r>
    </w:p>
    <w:p w:rsidR="007F6E9A" w:rsidRPr="008A08C7" w:rsidRDefault="007F6E9A" w:rsidP="0035339A">
      <w:pPr>
        <w:rPr>
          <w:color w:val="333333"/>
          <w:spacing w:val="23"/>
          <w:sz w:val="20"/>
          <w:szCs w:val="20"/>
        </w:rPr>
      </w:pPr>
      <w:r w:rsidRPr="008A08C7">
        <w:rPr>
          <w:color w:val="333333"/>
          <w:spacing w:val="23"/>
          <w:sz w:val="20"/>
          <w:szCs w:val="20"/>
        </w:rPr>
        <w:t>For In-text:</w:t>
      </w:r>
    </w:p>
    <w:p w:rsidR="007F6E9A" w:rsidRPr="008A08C7" w:rsidRDefault="007F6E9A" w:rsidP="0035339A">
      <w:pPr>
        <w:rPr>
          <w:color w:val="333333"/>
          <w:spacing w:val="23"/>
          <w:sz w:val="20"/>
          <w:szCs w:val="20"/>
        </w:rPr>
      </w:pPr>
      <w:r w:rsidRPr="008A08C7">
        <w:rPr>
          <w:sz w:val="20"/>
          <w:szCs w:val="20"/>
        </w:rPr>
        <w:t>("Speech of Governor Orval E. Faubus, September 18, 1958" 2008)</w:t>
      </w:r>
    </w:p>
    <w:p w:rsidR="007F6E9A" w:rsidRPr="008A08C7" w:rsidRDefault="007F6E9A" w:rsidP="0035339A">
      <w:pPr>
        <w:rPr>
          <w:sz w:val="20"/>
          <w:szCs w:val="20"/>
        </w:rPr>
      </w:pPr>
      <w:r w:rsidRPr="008A08C7">
        <w:rPr>
          <w:sz w:val="20"/>
          <w:szCs w:val="20"/>
        </w:rPr>
        <w:lastRenderedPageBreak/>
        <w:t>(Edward L. 1987)</w:t>
      </w:r>
    </w:p>
    <w:p w:rsidR="00FD3CAA" w:rsidRPr="008A08C7" w:rsidRDefault="00FD3CAA" w:rsidP="0035339A">
      <w:pPr>
        <w:rPr>
          <w:sz w:val="20"/>
          <w:szCs w:val="20"/>
        </w:rPr>
      </w:pPr>
      <w:r w:rsidRPr="008A08C7">
        <w:rPr>
          <w:sz w:val="20"/>
          <w:szCs w:val="20"/>
        </w:rPr>
        <w:t>("Supreme Court of the United States: Brown v. Board of Education, 347 U.S. 483 (1954) (USSC )" )</w:t>
      </w:r>
    </w:p>
    <w:p w:rsidR="009A6860" w:rsidRPr="008A08C7" w:rsidRDefault="009A6860" w:rsidP="0035339A">
      <w:pPr>
        <w:rPr>
          <w:sz w:val="20"/>
          <w:szCs w:val="20"/>
        </w:rPr>
      </w:pPr>
      <w:r w:rsidRPr="008A08C7">
        <w:rPr>
          <w:sz w:val="20"/>
          <w:szCs w:val="20"/>
        </w:rPr>
        <w:t>("History of Brown v. Board of Education" )</w:t>
      </w:r>
    </w:p>
    <w:p w:rsidR="0035339A" w:rsidRPr="00E01DEC" w:rsidRDefault="008A08C7" w:rsidP="00E01DEC">
      <w:pPr>
        <w:spacing w:before="100" w:beforeAutospacing="1" w:after="100" w:afterAutospacing="1" w:line="360" w:lineRule="auto"/>
        <w:ind w:left="720" w:hanging="720"/>
        <w:rPr>
          <w:rFonts w:ascii="Times New Roman" w:eastAsia="Times New Roman" w:hAnsi="Times New Roman" w:cs="Times New Roman"/>
          <w:sz w:val="20"/>
          <w:szCs w:val="20"/>
        </w:rPr>
      </w:pPr>
      <w:r w:rsidRPr="008A08C7">
        <w:rPr>
          <w:rFonts w:ascii="Times New Roman" w:eastAsia="Times New Roman" w:hAnsi="Times New Roman" w:cs="Times New Roman"/>
          <w:sz w:val="20"/>
          <w:szCs w:val="20"/>
        </w:rPr>
        <w:t>("Governor Thomas B. Stanley response to the United States Supreme Court decision in Brown v. Board of Education" )</w:t>
      </w:r>
    </w:p>
    <w:sectPr w:rsidR="0035339A" w:rsidRPr="00E01DEC" w:rsidSect="00FF06E8">
      <w:headerReference w:type="default" r:id="rId12"/>
      <w:footerReference w:type="default" r:id="rId13"/>
      <w:footnotePr>
        <w:pos w:val="beneathText"/>
      </w:foot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281" w:rsidRDefault="00AD1281" w:rsidP="00604363">
      <w:pPr>
        <w:spacing w:after="0" w:line="240" w:lineRule="auto"/>
      </w:pPr>
      <w:r>
        <w:separator/>
      </w:r>
    </w:p>
  </w:endnote>
  <w:endnote w:type="continuationSeparator" w:id="1">
    <w:p w:rsidR="00AD1281" w:rsidRDefault="00AD1281" w:rsidP="006043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9C7" w:rsidRDefault="008B29C7" w:rsidP="00A132DD">
    <w:pPr>
      <w:pStyle w:val="Footer"/>
    </w:pPr>
  </w:p>
  <w:p w:rsidR="008B29C7" w:rsidRDefault="008B29C7" w:rsidP="008B29C7">
    <w:pPr>
      <w:pStyle w:val="Footer"/>
      <w:ind w:left="720"/>
    </w:pPr>
  </w:p>
  <w:p w:rsidR="008B29C7" w:rsidRDefault="008B29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281" w:rsidRDefault="00AD1281" w:rsidP="00604363">
      <w:pPr>
        <w:spacing w:after="0" w:line="240" w:lineRule="auto"/>
      </w:pPr>
      <w:r>
        <w:separator/>
      </w:r>
    </w:p>
  </w:footnote>
  <w:footnote w:type="continuationSeparator" w:id="1">
    <w:p w:rsidR="00AD1281" w:rsidRDefault="00AD1281" w:rsidP="006043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363" w:rsidRDefault="00604363">
    <w:pPr>
      <w:pStyle w:val="Header"/>
    </w:pPr>
    <w:r>
      <w:t>Stephanie Snead</w:t>
    </w:r>
  </w:p>
  <w:p w:rsidR="00604363" w:rsidRDefault="00604363">
    <w:pPr>
      <w:pStyle w:val="Header"/>
    </w:pPr>
    <w:r>
      <w:t>ECI 435 and ECI 430</w:t>
    </w:r>
  </w:p>
  <w:p w:rsidR="00604363" w:rsidRDefault="006043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975D9"/>
    <w:multiLevelType w:val="hybridMultilevel"/>
    <w:tmpl w:val="C5587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E063B4E"/>
    <w:multiLevelType w:val="hybridMultilevel"/>
    <w:tmpl w:val="C576F032"/>
    <w:lvl w:ilvl="0" w:tplc="CD7CB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0B3CC1"/>
    <w:multiLevelType w:val="multilevel"/>
    <w:tmpl w:val="DBCA9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D7391D"/>
    <w:multiLevelType w:val="hybridMultilevel"/>
    <w:tmpl w:val="2A8A68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2D023C"/>
    <w:multiLevelType w:val="multilevel"/>
    <w:tmpl w:val="C156A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CB36E3"/>
    <w:multiLevelType w:val="hybridMultilevel"/>
    <w:tmpl w:val="C6C874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A101CC0"/>
    <w:multiLevelType w:val="hybridMultilevel"/>
    <w:tmpl w:val="6C4E7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B6521A"/>
    <w:multiLevelType w:val="hybridMultilevel"/>
    <w:tmpl w:val="57B8BE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1720EF"/>
    <w:multiLevelType w:val="hybridMultilevel"/>
    <w:tmpl w:val="4F2CA0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60521"/>
    <w:multiLevelType w:val="hybridMultilevel"/>
    <w:tmpl w:val="55E81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4F52B3"/>
    <w:multiLevelType w:val="multilevel"/>
    <w:tmpl w:val="ED90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C01174"/>
    <w:multiLevelType w:val="hybridMultilevel"/>
    <w:tmpl w:val="DEA62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89599C"/>
    <w:multiLevelType w:val="hybridMultilevel"/>
    <w:tmpl w:val="10B07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B204295"/>
    <w:multiLevelType w:val="hybridMultilevel"/>
    <w:tmpl w:val="47608544"/>
    <w:lvl w:ilvl="0" w:tplc="A8D4697C">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187FD2"/>
    <w:multiLevelType w:val="hybridMultilevel"/>
    <w:tmpl w:val="FD266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35D3C21"/>
    <w:multiLevelType w:val="hybridMultilevel"/>
    <w:tmpl w:val="2A22B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DE2CA7"/>
    <w:multiLevelType w:val="multilevel"/>
    <w:tmpl w:val="5B82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9C16EE"/>
    <w:multiLevelType w:val="hybridMultilevel"/>
    <w:tmpl w:val="BAA49A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CB9348B"/>
    <w:multiLevelType w:val="hybridMultilevel"/>
    <w:tmpl w:val="0AB63932"/>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9">
    <w:nsid w:val="6E452B67"/>
    <w:multiLevelType w:val="multilevel"/>
    <w:tmpl w:val="8D884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0C7650A"/>
    <w:multiLevelType w:val="hybridMultilevel"/>
    <w:tmpl w:val="C576F032"/>
    <w:lvl w:ilvl="0" w:tplc="CD7CB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8F6A1D"/>
    <w:multiLevelType w:val="multilevel"/>
    <w:tmpl w:val="622E1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CA22828"/>
    <w:multiLevelType w:val="hybridMultilevel"/>
    <w:tmpl w:val="8BD853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7"/>
  </w:num>
  <w:num w:numId="3">
    <w:abstractNumId w:val="14"/>
  </w:num>
  <w:num w:numId="4">
    <w:abstractNumId w:val="3"/>
  </w:num>
  <w:num w:numId="5">
    <w:abstractNumId w:val="5"/>
  </w:num>
  <w:num w:numId="6">
    <w:abstractNumId w:val="18"/>
  </w:num>
  <w:num w:numId="7">
    <w:abstractNumId w:val="11"/>
  </w:num>
  <w:num w:numId="8">
    <w:abstractNumId w:val="8"/>
  </w:num>
  <w:num w:numId="9">
    <w:abstractNumId w:val="13"/>
  </w:num>
  <w:num w:numId="10">
    <w:abstractNumId w:val="22"/>
  </w:num>
  <w:num w:numId="11">
    <w:abstractNumId w:val="6"/>
  </w:num>
  <w:num w:numId="12">
    <w:abstractNumId w:val="20"/>
  </w:num>
  <w:num w:numId="13">
    <w:abstractNumId w:val="12"/>
  </w:num>
  <w:num w:numId="14">
    <w:abstractNumId w:val="0"/>
  </w:num>
  <w:num w:numId="15">
    <w:abstractNumId w:val="9"/>
  </w:num>
  <w:num w:numId="16">
    <w:abstractNumId w:val="1"/>
  </w:num>
  <w:num w:numId="17">
    <w:abstractNumId w:val="15"/>
  </w:num>
  <w:num w:numId="18">
    <w:abstractNumId w:val="10"/>
  </w:num>
  <w:num w:numId="19">
    <w:abstractNumId w:val="2"/>
  </w:num>
  <w:num w:numId="20">
    <w:abstractNumId w:val="21"/>
  </w:num>
  <w:num w:numId="21">
    <w:abstractNumId w:val="16"/>
  </w:num>
  <w:num w:numId="22">
    <w:abstractNumId w:val="4"/>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pos w:val="beneathText"/>
    <w:footnote w:id="0"/>
    <w:footnote w:id="1"/>
  </w:footnotePr>
  <w:endnotePr>
    <w:endnote w:id="0"/>
    <w:endnote w:id="1"/>
  </w:endnotePr>
  <w:compat/>
  <w:rsids>
    <w:rsidRoot w:val="0014717B"/>
    <w:rsid w:val="0001611A"/>
    <w:rsid w:val="00056046"/>
    <w:rsid w:val="00064AD3"/>
    <w:rsid w:val="00072295"/>
    <w:rsid w:val="00073B7A"/>
    <w:rsid w:val="000767A9"/>
    <w:rsid w:val="000A70CA"/>
    <w:rsid w:val="000D03C4"/>
    <w:rsid w:val="000D05ED"/>
    <w:rsid w:val="000D072D"/>
    <w:rsid w:val="000D29DF"/>
    <w:rsid w:val="00100433"/>
    <w:rsid w:val="001011DC"/>
    <w:rsid w:val="001313DC"/>
    <w:rsid w:val="0013202A"/>
    <w:rsid w:val="00146C93"/>
    <w:rsid w:val="0014717B"/>
    <w:rsid w:val="001738AA"/>
    <w:rsid w:val="00186298"/>
    <w:rsid w:val="00194E3E"/>
    <w:rsid w:val="00234EBA"/>
    <w:rsid w:val="00241FCB"/>
    <w:rsid w:val="00257A2E"/>
    <w:rsid w:val="00264F59"/>
    <w:rsid w:val="002650B2"/>
    <w:rsid w:val="002C27FB"/>
    <w:rsid w:val="00302C38"/>
    <w:rsid w:val="00302FC3"/>
    <w:rsid w:val="003110D6"/>
    <w:rsid w:val="003165F0"/>
    <w:rsid w:val="00332E6D"/>
    <w:rsid w:val="00350B11"/>
    <w:rsid w:val="0035339A"/>
    <w:rsid w:val="003552E6"/>
    <w:rsid w:val="00375023"/>
    <w:rsid w:val="003C70D5"/>
    <w:rsid w:val="003E4768"/>
    <w:rsid w:val="00402896"/>
    <w:rsid w:val="00415F0F"/>
    <w:rsid w:val="00456797"/>
    <w:rsid w:val="00467C74"/>
    <w:rsid w:val="004A4436"/>
    <w:rsid w:val="004A7055"/>
    <w:rsid w:val="004C788A"/>
    <w:rsid w:val="004E6CEB"/>
    <w:rsid w:val="00513BC8"/>
    <w:rsid w:val="00527DC2"/>
    <w:rsid w:val="005510C4"/>
    <w:rsid w:val="00557676"/>
    <w:rsid w:val="00575D62"/>
    <w:rsid w:val="00591031"/>
    <w:rsid w:val="005936AE"/>
    <w:rsid w:val="005A2473"/>
    <w:rsid w:val="005F337B"/>
    <w:rsid w:val="005F7B62"/>
    <w:rsid w:val="00604363"/>
    <w:rsid w:val="0063360C"/>
    <w:rsid w:val="00634FA4"/>
    <w:rsid w:val="006A65A2"/>
    <w:rsid w:val="006D5CD6"/>
    <w:rsid w:val="006F4EB4"/>
    <w:rsid w:val="00721C1E"/>
    <w:rsid w:val="00741E32"/>
    <w:rsid w:val="00750250"/>
    <w:rsid w:val="00762DAE"/>
    <w:rsid w:val="00765FE4"/>
    <w:rsid w:val="0076731A"/>
    <w:rsid w:val="00792EA8"/>
    <w:rsid w:val="007A5248"/>
    <w:rsid w:val="007B28B6"/>
    <w:rsid w:val="007C0288"/>
    <w:rsid w:val="007C11A7"/>
    <w:rsid w:val="007E4F41"/>
    <w:rsid w:val="007F18F5"/>
    <w:rsid w:val="007F6E9A"/>
    <w:rsid w:val="00823645"/>
    <w:rsid w:val="008309C0"/>
    <w:rsid w:val="008729B5"/>
    <w:rsid w:val="008A08C7"/>
    <w:rsid w:val="008B29C7"/>
    <w:rsid w:val="008F4377"/>
    <w:rsid w:val="0090607F"/>
    <w:rsid w:val="00912582"/>
    <w:rsid w:val="00916CEA"/>
    <w:rsid w:val="009279B4"/>
    <w:rsid w:val="0096255E"/>
    <w:rsid w:val="00965F70"/>
    <w:rsid w:val="00975B95"/>
    <w:rsid w:val="009A1EE6"/>
    <w:rsid w:val="009A6860"/>
    <w:rsid w:val="009D376E"/>
    <w:rsid w:val="00A132DD"/>
    <w:rsid w:val="00A13E4D"/>
    <w:rsid w:val="00A23882"/>
    <w:rsid w:val="00A47871"/>
    <w:rsid w:val="00AC42C3"/>
    <w:rsid w:val="00AC4D2C"/>
    <w:rsid w:val="00AC6266"/>
    <w:rsid w:val="00AD1281"/>
    <w:rsid w:val="00AE5E99"/>
    <w:rsid w:val="00AF09B8"/>
    <w:rsid w:val="00B04DCB"/>
    <w:rsid w:val="00B0633D"/>
    <w:rsid w:val="00B132BB"/>
    <w:rsid w:val="00B44A4D"/>
    <w:rsid w:val="00B44C78"/>
    <w:rsid w:val="00B53F45"/>
    <w:rsid w:val="00B56D16"/>
    <w:rsid w:val="00BB3F89"/>
    <w:rsid w:val="00BC3AE2"/>
    <w:rsid w:val="00BE2BE8"/>
    <w:rsid w:val="00C0228C"/>
    <w:rsid w:val="00C404CD"/>
    <w:rsid w:val="00C7649F"/>
    <w:rsid w:val="00C872E8"/>
    <w:rsid w:val="00CD634A"/>
    <w:rsid w:val="00CF79CD"/>
    <w:rsid w:val="00D204AC"/>
    <w:rsid w:val="00D32F5E"/>
    <w:rsid w:val="00D422BC"/>
    <w:rsid w:val="00D53A83"/>
    <w:rsid w:val="00D54870"/>
    <w:rsid w:val="00D70509"/>
    <w:rsid w:val="00D72987"/>
    <w:rsid w:val="00DA7827"/>
    <w:rsid w:val="00DC502A"/>
    <w:rsid w:val="00DE013F"/>
    <w:rsid w:val="00DE2DA2"/>
    <w:rsid w:val="00DF4ACB"/>
    <w:rsid w:val="00E01DEC"/>
    <w:rsid w:val="00E03CF7"/>
    <w:rsid w:val="00E135BA"/>
    <w:rsid w:val="00E15D1E"/>
    <w:rsid w:val="00E1669F"/>
    <w:rsid w:val="00E210C6"/>
    <w:rsid w:val="00E4047B"/>
    <w:rsid w:val="00E41CE2"/>
    <w:rsid w:val="00E44278"/>
    <w:rsid w:val="00E745AF"/>
    <w:rsid w:val="00E823C2"/>
    <w:rsid w:val="00E91BB1"/>
    <w:rsid w:val="00EE2B72"/>
    <w:rsid w:val="00F23CF2"/>
    <w:rsid w:val="00F40AA1"/>
    <w:rsid w:val="00F619D4"/>
    <w:rsid w:val="00F666E9"/>
    <w:rsid w:val="00FC413A"/>
    <w:rsid w:val="00FD3CAA"/>
    <w:rsid w:val="00FD50D9"/>
    <w:rsid w:val="00FF06E8"/>
    <w:rsid w:val="00FF3F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6E8"/>
  </w:style>
  <w:style w:type="paragraph" w:styleId="Heading3">
    <w:name w:val="heading 3"/>
    <w:basedOn w:val="Normal"/>
    <w:link w:val="Heading3Char"/>
    <w:uiPriority w:val="9"/>
    <w:qFormat/>
    <w:rsid w:val="000767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43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4363"/>
  </w:style>
  <w:style w:type="paragraph" w:styleId="Footer">
    <w:name w:val="footer"/>
    <w:basedOn w:val="Normal"/>
    <w:link w:val="FooterChar"/>
    <w:uiPriority w:val="99"/>
    <w:unhideWhenUsed/>
    <w:rsid w:val="006043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4363"/>
  </w:style>
  <w:style w:type="paragraph" w:styleId="BalloonText">
    <w:name w:val="Balloon Text"/>
    <w:basedOn w:val="Normal"/>
    <w:link w:val="BalloonTextChar"/>
    <w:uiPriority w:val="99"/>
    <w:semiHidden/>
    <w:unhideWhenUsed/>
    <w:rsid w:val="006043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363"/>
    <w:rPr>
      <w:rFonts w:ascii="Tahoma" w:hAnsi="Tahoma" w:cs="Tahoma"/>
      <w:sz w:val="16"/>
      <w:szCs w:val="16"/>
    </w:rPr>
  </w:style>
  <w:style w:type="paragraph" w:styleId="ListParagraph">
    <w:name w:val="List Paragraph"/>
    <w:basedOn w:val="Normal"/>
    <w:uiPriority w:val="34"/>
    <w:qFormat/>
    <w:rsid w:val="00604363"/>
    <w:pPr>
      <w:ind w:left="720"/>
      <w:contextualSpacing/>
    </w:pPr>
  </w:style>
  <w:style w:type="character" w:customStyle="1" w:styleId="Heading3Char">
    <w:name w:val="Heading 3 Char"/>
    <w:basedOn w:val="DefaultParagraphFont"/>
    <w:link w:val="Heading3"/>
    <w:uiPriority w:val="9"/>
    <w:rsid w:val="000767A9"/>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0767A9"/>
    <w:rPr>
      <w:strike w:val="0"/>
      <w:dstrike w:val="0"/>
      <w:color w:val="214E95"/>
      <w:u w:val="none"/>
      <w:effect w:val="none"/>
    </w:rPr>
  </w:style>
  <w:style w:type="character" w:customStyle="1" w:styleId="highlight3">
    <w:name w:val="highlight3"/>
    <w:basedOn w:val="DefaultParagraphFont"/>
    <w:rsid w:val="000767A9"/>
  </w:style>
  <w:style w:type="character" w:customStyle="1" w:styleId="authors3">
    <w:name w:val="authors3"/>
    <w:basedOn w:val="DefaultParagraphFont"/>
    <w:rsid w:val="000767A9"/>
  </w:style>
  <w:style w:type="character" w:customStyle="1" w:styleId="publicationtitle">
    <w:name w:val="publicationtitle"/>
    <w:basedOn w:val="DefaultParagraphFont"/>
    <w:rsid w:val="000767A9"/>
  </w:style>
  <w:style w:type="character" w:customStyle="1" w:styleId="label18">
    <w:name w:val="label18"/>
    <w:basedOn w:val="DefaultParagraphFont"/>
    <w:rsid w:val="000767A9"/>
  </w:style>
  <w:style w:type="character" w:styleId="FollowedHyperlink">
    <w:name w:val="FollowedHyperlink"/>
    <w:basedOn w:val="DefaultParagraphFont"/>
    <w:uiPriority w:val="99"/>
    <w:semiHidden/>
    <w:unhideWhenUsed/>
    <w:rsid w:val="00264F59"/>
    <w:rPr>
      <w:color w:val="800080" w:themeColor="followedHyperlink"/>
      <w:u w:val="single"/>
    </w:rPr>
  </w:style>
  <w:style w:type="character" w:styleId="Emphasis">
    <w:name w:val="Emphasis"/>
    <w:basedOn w:val="DefaultParagraphFont"/>
    <w:uiPriority w:val="20"/>
    <w:qFormat/>
    <w:rsid w:val="00FC413A"/>
    <w:rPr>
      <w:i/>
      <w:iCs/>
    </w:rPr>
  </w:style>
  <w:style w:type="character" w:styleId="Strong">
    <w:name w:val="Strong"/>
    <w:basedOn w:val="DefaultParagraphFont"/>
    <w:uiPriority w:val="22"/>
    <w:qFormat/>
    <w:rsid w:val="00591031"/>
    <w:rPr>
      <w:b/>
      <w:bCs/>
    </w:rPr>
  </w:style>
  <w:style w:type="paragraph" w:styleId="EndnoteText">
    <w:name w:val="endnote text"/>
    <w:basedOn w:val="Normal"/>
    <w:link w:val="EndnoteTextChar"/>
    <w:uiPriority w:val="99"/>
    <w:semiHidden/>
    <w:unhideWhenUsed/>
    <w:rsid w:val="00F23CF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23CF2"/>
    <w:rPr>
      <w:sz w:val="20"/>
      <w:szCs w:val="20"/>
    </w:rPr>
  </w:style>
  <w:style w:type="character" w:styleId="EndnoteReference">
    <w:name w:val="endnote reference"/>
    <w:basedOn w:val="DefaultParagraphFont"/>
    <w:uiPriority w:val="99"/>
    <w:semiHidden/>
    <w:unhideWhenUsed/>
    <w:rsid w:val="00F23CF2"/>
    <w:rPr>
      <w:vertAlign w:val="superscript"/>
    </w:rPr>
  </w:style>
  <w:style w:type="paragraph" w:styleId="FootnoteText">
    <w:name w:val="footnote text"/>
    <w:basedOn w:val="Normal"/>
    <w:link w:val="FootnoteTextChar"/>
    <w:uiPriority w:val="99"/>
    <w:semiHidden/>
    <w:unhideWhenUsed/>
    <w:rsid w:val="008729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29B5"/>
    <w:rPr>
      <w:sz w:val="20"/>
      <w:szCs w:val="20"/>
    </w:rPr>
  </w:style>
  <w:style w:type="character" w:styleId="FootnoteReference">
    <w:name w:val="footnote reference"/>
    <w:basedOn w:val="DefaultParagraphFont"/>
    <w:uiPriority w:val="99"/>
    <w:semiHidden/>
    <w:unhideWhenUsed/>
    <w:rsid w:val="008729B5"/>
    <w:rPr>
      <w:vertAlign w:val="superscript"/>
    </w:rPr>
  </w:style>
</w:styles>
</file>

<file path=word/webSettings.xml><?xml version="1.0" encoding="utf-8"?>
<w:webSettings xmlns:r="http://schemas.openxmlformats.org/officeDocument/2006/relationships" xmlns:w="http://schemas.openxmlformats.org/wordprocessingml/2006/main">
  <w:divs>
    <w:div w:id="1512789">
      <w:bodyDiv w:val="1"/>
      <w:marLeft w:val="0"/>
      <w:marRight w:val="0"/>
      <w:marTop w:val="0"/>
      <w:marBottom w:val="0"/>
      <w:divBdr>
        <w:top w:val="none" w:sz="0" w:space="0" w:color="auto"/>
        <w:left w:val="none" w:sz="0" w:space="0" w:color="auto"/>
        <w:bottom w:val="none" w:sz="0" w:space="0" w:color="auto"/>
        <w:right w:val="none" w:sz="0" w:space="0" w:color="auto"/>
      </w:divBdr>
    </w:div>
    <w:div w:id="67579093">
      <w:marLeft w:val="0"/>
      <w:marRight w:val="0"/>
      <w:marTop w:val="0"/>
      <w:marBottom w:val="0"/>
      <w:divBdr>
        <w:top w:val="none" w:sz="0" w:space="0" w:color="auto"/>
        <w:left w:val="none" w:sz="0" w:space="0" w:color="auto"/>
        <w:bottom w:val="none" w:sz="0" w:space="0" w:color="auto"/>
        <w:right w:val="none" w:sz="0" w:space="0" w:color="auto"/>
      </w:divBdr>
      <w:divsChild>
        <w:div w:id="1196893763">
          <w:marLeft w:val="0"/>
          <w:marRight w:val="0"/>
          <w:marTop w:val="0"/>
          <w:marBottom w:val="0"/>
          <w:divBdr>
            <w:top w:val="none" w:sz="0" w:space="0" w:color="auto"/>
            <w:left w:val="none" w:sz="0" w:space="0" w:color="auto"/>
            <w:bottom w:val="none" w:sz="0" w:space="0" w:color="auto"/>
            <w:right w:val="none" w:sz="0" w:space="0" w:color="auto"/>
          </w:divBdr>
        </w:div>
        <w:div w:id="1762798758">
          <w:marLeft w:val="0"/>
          <w:marRight w:val="0"/>
          <w:marTop w:val="0"/>
          <w:marBottom w:val="0"/>
          <w:divBdr>
            <w:top w:val="none" w:sz="0" w:space="0" w:color="auto"/>
            <w:left w:val="none" w:sz="0" w:space="0" w:color="auto"/>
            <w:bottom w:val="none" w:sz="0" w:space="0" w:color="auto"/>
            <w:right w:val="none" w:sz="0" w:space="0" w:color="auto"/>
          </w:divBdr>
        </w:div>
      </w:divsChild>
    </w:div>
    <w:div w:id="139005559">
      <w:marLeft w:val="0"/>
      <w:marRight w:val="0"/>
      <w:marTop w:val="0"/>
      <w:marBottom w:val="0"/>
      <w:divBdr>
        <w:top w:val="none" w:sz="0" w:space="0" w:color="auto"/>
        <w:left w:val="none" w:sz="0" w:space="0" w:color="auto"/>
        <w:bottom w:val="none" w:sz="0" w:space="0" w:color="auto"/>
        <w:right w:val="none" w:sz="0" w:space="0" w:color="auto"/>
      </w:divBdr>
    </w:div>
    <w:div w:id="462043825">
      <w:marLeft w:val="0"/>
      <w:marRight w:val="0"/>
      <w:marTop w:val="0"/>
      <w:marBottom w:val="0"/>
      <w:divBdr>
        <w:top w:val="none" w:sz="0" w:space="0" w:color="auto"/>
        <w:left w:val="none" w:sz="0" w:space="0" w:color="auto"/>
        <w:bottom w:val="none" w:sz="0" w:space="0" w:color="auto"/>
        <w:right w:val="none" w:sz="0" w:space="0" w:color="auto"/>
      </w:divBdr>
      <w:divsChild>
        <w:div w:id="1742094075">
          <w:marLeft w:val="0"/>
          <w:marRight w:val="0"/>
          <w:marTop w:val="0"/>
          <w:marBottom w:val="0"/>
          <w:divBdr>
            <w:top w:val="none" w:sz="0" w:space="0" w:color="auto"/>
            <w:left w:val="none" w:sz="0" w:space="0" w:color="auto"/>
            <w:bottom w:val="none" w:sz="0" w:space="0" w:color="auto"/>
            <w:right w:val="none" w:sz="0" w:space="0" w:color="auto"/>
          </w:divBdr>
        </w:div>
        <w:div w:id="1039741889">
          <w:marLeft w:val="0"/>
          <w:marRight w:val="0"/>
          <w:marTop w:val="0"/>
          <w:marBottom w:val="0"/>
          <w:divBdr>
            <w:top w:val="none" w:sz="0" w:space="0" w:color="auto"/>
            <w:left w:val="none" w:sz="0" w:space="0" w:color="auto"/>
            <w:bottom w:val="none" w:sz="0" w:space="0" w:color="auto"/>
            <w:right w:val="none" w:sz="0" w:space="0" w:color="auto"/>
          </w:divBdr>
        </w:div>
      </w:divsChild>
    </w:div>
    <w:div w:id="637876876">
      <w:marLeft w:val="0"/>
      <w:marRight w:val="0"/>
      <w:marTop w:val="0"/>
      <w:marBottom w:val="0"/>
      <w:divBdr>
        <w:top w:val="none" w:sz="0" w:space="0" w:color="auto"/>
        <w:left w:val="none" w:sz="0" w:space="0" w:color="auto"/>
        <w:bottom w:val="none" w:sz="0" w:space="0" w:color="auto"/>
        <w:right w:val="none" w:sz="0" w:space="0" w:color="auto"/>
      </w:divBdr>
    </w:div>
    <w:div w:id="647782486">
      <w:marLeft w:val="0"/>
      <w:marRight w:val="0"/>
      <w:marTop w:val="0"/>
      <w:marBottom w:val="0"/>
      <w:divBdr>
        <w:top w:val="none" w:sz="0" w:space="0" w:color="auto"/>
        <w:left w:val="none" w:sz="0" w:space="0" w:color="auto"/>
        <w:bottom w:val="none" w:sz="0" w:space="0" w:color="auto"/>
        <w:right w:val="none" w:sz="0" w:space="0" w:color="auto"/>
      </w:divBdr>
    </w:div>
    <w:div w:id="682630842">
      <w:marLeft w:val="0"/>
      <w:marRight w:val="0"/>
      <w:marTop w:val="0"/>
      <w:marBottom w:val="0"/>
      <w:divBdr>
        <w:top w:val="none" w:sz="0" w:space="0" w:color="auto"/>
        <w:left w:val="none" w:sz="0" w:space="0" w:color="auto"/>
        <w:bottom w:val="none" w:sz="0" w:space="0" w:color="auto"/>
        <w:right w:val="none" w:sz="0" w:space="0" w:color="auto"/>
      </w:divBdr>
    </w:div>
    <w:div w:id="695621984">
      <w:marLeft w:val="0"/>
      <w:marRight w:val="0"/>
      <w:marTop w:val="0"/>
      <w:marBottom w:val="0"/>
      <w:divBdr>
        <w:top w:val="none" w:sz="0" w:space="0" w:color="auto"/>
        <w:left w:val="none" w:sz="0" w:space="0" w:color="auto"/>
        <w:bottom w:val="none" w:sz="0" w:space="0" w:color="auto"/>
        <w:right w:val="none" w:sz="0" w:space="0" w:color="auto"/>
      </w:divBdr>
    </w:div>
    <w:div w:id="1347900079">
      <w:marLeft w:val="0"/>
      <w:marRight w:val="0"/>
      <w:marTop w:val="0"/>
      <w:marBottom w:val="0"/>
      <w:divBdr>
        <w:top w:val="none" w:sz="0" w:space="0" w:color="auto"/>
        <w:left w:val="none" w:sz="0" w:space="0" w:color="auto"/>
        <w:bottom w:val="none" w:sz="0" w:space="0" w:color="auto"/>
        <w:right w:val="none" w:sz="0" w:space="0" w:color="auto"/>
      </w:divBdr>
      <w:divsChild>
        <w:div w:id="1618366752">
          <w:marLeft w:val="0"/>
          <w:marRight w:val="0"/>
          <w:marTop w:val="0"/>
          <w:marBottom w:val="0"/>
          <w:divBdr>
            <w:top w:val="none" w:sz="0" w:space="0" w:color="auto"/>
            <w:left w:val="none" w:sz="0" w:space="0" w:color="auto"/>
            <w:bottom w:val="none" w:sz="0" w:space="0" w:color="auto"/>
            <w:right w:val="none" w:sz="0" w:space="0" w:color="auto"/>
          </w:divBdr>
        </w:div>
        <w:div w:id="1513030521">
          <w:marLeft w:val="0"/>
          <w:marRight w:val="0"/>
          <w:marTop w:val="0"/>
          <w:marBottom w:val="0"/>
          <w:divBdr>
            <w:top w:val="none" w:sz="0" w:space="0" w:color="auto"/>
            <w:left w:val="none" w:sz="0" w:space="0" w:color="auto"/>
            <w:bottom w:val="none" w:sz="0" w:space="0" w:color="auto"/>
            <w:right w:val="none" w:sz="0" w:space="0" w:color="auto"/>
          </w:divBdr>
        </w:div>
      </w:divsChild>
    </w:div>
    <w:div w:id="1368067302">
      <w:marLeft w:val="0"/>
      <w:marRight w:val="0"/>
      <w:marTop w:val="0"/>
      <w:marBottom w:val="0"/>
      <w:divBdr>
        <w:top w:val="none" w:sz="0" w:space="0" w:color="auto"/>
        <w:left w:val="none" w:sz="0" w:space="0" w:color="auto"/>
        <w:bottom w:val="none" w:sz="0" w:space="0" w:color="auto"/>
        <w:right w:val="none" w:sz="0" w:space="0" w:color="auto"/>
      </w:divBdr>
    </w:div>
    <w:div w:id="1431000770">
      <w:bodyDiv w:val="1"/>
      <w:marLeft w:val="0"/>
      <w:marRight w:val="0"/>
      <w:marTop w:val="0"/>
      <w:marBottom w:val="0"/>
      <w:divBdr>
        <w:top w:val="none" w:sz="0" w:space="0" w:color="auto"/>
        <w:left w:val="none" w:sz="0" w:space="0" w:color="auto"/>
        <w:bottom w:val="none" w:sz="0" w:space="0" w:color="auto"/>
        <w:right w:val="none" w:sz="0" w:space="0" w:color="auto"/>
      </w:divBdr>
    </w:div>
    <w:div w:id="1472479925">
      <w:marLeft w:val="0"/>
      <w:marRight w:val="0"/>
      <w:marTop w:val="0"/>
      <w:marBottom w:val="0"/>
      <w:divBdr>
        <w:top w:val="none" w:sz="0" w:space="0" w:color="auto"/>
        <w:left w:val="none" w:sz="0" w:space="0" w:color="auto"/>
        <w:bottom w:val="none" w:sz="0" w:space="0" w:color="auto"/>
        <w:right w:val="none" w:sz="0" w:space="0" w:color="auto"/>
      </w:divBdr>
      <w:divsChild>
        <w:div w:id="1779639558">
          <w:marLeft w:val="0"/>
          <w:marRight w:val="0"/>
          <w:marTop w:val="0"/>
          <w:marBottom w:val="0"/>
          <w:divBdr>
            <w:top w:val="none" w:sz="0" w:space="0" w:color="auto"/>
            <w:left w:val="none" w:sz="0" w:space="0" w:color="auto"/>
            <w:bottom w:val="none" w:sz="0" w:space="0" w:color="auto"/>
            <w:right w:val="none" w:sz="0" w:space="0" w:color="auto"/>
          </w:divBdr>
        </w:div>
      </w:divsChild>
    </w:div>
    <w:div w:id="1503202663">
      <w:marLeft w:val="0"/>
      <w:marRight w:val="0"/>
      <w:marTop w:val="0"/>
      <w:marBottom w:val="0"/>
      <w:divBdr>
        <w:top w:val="none" w:sz="0" w:space="0" w:color="auto"/>
        <w:left w:val="none" w:sz="0" w:space="0" w:color="auto"/>
        <w:bottom w:val="none" w:sz="0" w:space="0" w:color="auto"/>
        <w:right w:val="none" w:sz="0" w:space="0" w:color="auto"/>
      </w:divBdr>
    </w:div>
    <w:div w:id="1527602385">
      <w:bodyDiv w:val="1"/>
      <w:marLeft w:val="0"/>
      <w:marRight w:val="0"/>
      <w:marTop w:val="0"/>
      <w:marBottom w:val="0"/>
      <w:divBdr>
        <w:top w:val="none" w:sz="0" w:space="0" w:color="auto"/>
        <w:left w:val="none" w:sz="0" w:space="0" w:color="auto"/>
        <w:bottom w:val="none" w:sz="0" w:space="0" w:color="auto"/>
        <w:right w:val="none" w:sz="0" w:space="0" w:color="auto"/>
      </w:divBdr>
      <w:divsChild>
        <w:div w:id="209154368">
          <w:marLeft w:val="0"/>
          <w:marRight w:val="0"/>
          <w:marTop w:val="0"/>
          <w:marBottom w:val="0"/>
          <w:divBdr>
            <w:top w:val="none" w:sz="0" w:space="0" w:color="auto"/>
            <w:left w:val="none" w:sz="0" w:space="0" w:color="auto"/>
            <w:bottom w:val="none" w:sz="0" w:space="0" w:color="auto"/>
            <w:right w:val="none" w:sz="0" w:space="0" w:color="auto"/>
          </w:divBdr>
          <w:divsChild>
            <w:div w:id="845828065">
              <w:marLeft w:val="0"/>
              <w:marRight w:val="0"/>
              <w:marTop w:val="0"/>
              <w:marBottom w:val="0"/>
              <w:divBdr>
                <w:top w:val="none" w:sz="0" w:space="0" w:color="auto"/>
                <w:left w:val="none" w:sz="0" w:space="0" w:color="auto"/>
                <w:bottom w:val="none" w:sz="0" w:space="0" w:color="auto"/>
                <w:right w:val="none" w:sz="0" w:space="0" w:color="auto"/>
              </w:divBdr>
              <w:divsChild>
                <w:div w:id="2093504733">
                  <w:marLeft w:val="0"/>
                  <w:marRight w:val="0"/>
                  <w:marTop w:val="0"/>
                  <w:marBottom w:val="0"/>
                  <w:divBdr>
                    <w:top w:val="none" w:sz="0" w:space="0" w:color="auto"/>
                    <w:left w:val="none" w:sz="0" w:space="0" w:color="auto"/>
                    <w:bottom w:val="none" w:sz="0" w:space="0" w:color="auto"/>
                    <w:right w:val="none" w:sz="0" w:space="0" w:color="auto"/>
                  </w:divBdr>
                  <w:divsChild>
                    <w:div w:id="1668944113">
                      <w:marLeft w:val="0"/>
                      <w:marRight w:val="0"/>
                      <w:marTop w:val="0"/>
                      <w:marBottom w:val="0"/>
                      <w:divBdr>
                        <w:top w:val="none" w:sz="0" w:space="0" w:color="auto"/>
                        <w:left w:val="none" w:sz="0" w:space="0" w:color="auto"/>
                        <w:bottom w:val="none" w:sz="0" w:space="0" w:color="auto"/>
                        <w:right w:val="none" w:sz="0" w:space="0" w:color="auto"/>
                      </w:divBdr>
                      <w:divsChild>
                        <w:div w:id="275529284">
                          <w:marLeft w:val="0"/>
                          <w:marRight w:val="0"/>
                          <w:marTop w:val="0"/>
                          <w:marBottom w:val="0"/>
                          <w:divBdr>
                            <w:top w:val="none" w:sz="0" w:space="0" w:color="auto"/>
                            <w:left w:val="none" w:sz="0" w:space="0" w:color="auto"/>
                            <w:bottom w:val="none" w:sz="0" w:space="0" w:color="auto"/>
                            <w:right w:val="none" w:sz="0" w:space="0" w:color="auto"/>
                          </w:divBdr>
                          <w:divsChild>
                            <w:div w:id="805858555">
                              <w:marLeft w:val="0"/>
                              <w:marRight w:val="0"/>
                              <w:marTop w:val="0"/>
                              <w:marBottom w:val="0"/>
                              <w:divBdr>
                                <w:top w:val="none" w:sz="0" w:space="0" w:color="auto"/>
                                <w:left w:val="none" w:sz="0" w:space="0" w:color="auto"/>
                                <w:bottom w:val="none" w:sz="0" w:space="0" w:color="auto"/>
                                <w:right w:val="none" w:sz="0" w:space="0" w:color="auto"/>
                              </w:divBdr>
                              <w:divsChild>
                                <w:div w:id="120652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1650131">
      <w:marLeft w:val="0"/>
      <w:marRight w:val="0"/>
      <w:marTop w:val="0"/>
      <w:marBottom w:val="0"/>
      <w:divBdr>
        <w:top w:val="none" w:sz="0" w:space="0" w:color="auto"/>
        <w:left w:val="none" w:sz="0" w:space="0" w:color="auto"/>
        <w:bottom w:val="none" w:sz="0" w:space="0" w:color="auto"/>
        <w:right w:val="none" w:sz="0" w:space="0" w:color="auto"/>
      </w:divBdr>
    </w:div>
    <w:div w:id="1768771276">
      <w:marLeft w:val="0"/>
      <w:marRight w:val="0"/>
      <w:marTop w:val="0"/>
      <w:marBottom w:val="0"/>
      <w:divBdr>
        <w:top w:val="none" w:sz="0" w:space="0" w:color="auto"/>
        <w:left w:val="none" w:sz="0" w:space="0" w:color="auto"/>
        <w:bottom w:val="none" w:sz="0" w:space="0" w:color="auto"/>
        <w:right w:val="none" w:sz="0" w:space="0" w:color="auto"/>
      </w:divBdr>
    </w:div>
    <w:div w:id="1799300714">
      <w:marLeft w:val="0"/>
      <w:marRight w:val="0"/>
      <w:marTop w:val="0"/>
      <w:marBottom w:val="0"/>
      <w:divBdr>
        <w:top w:val="none" w:sz="0" w:space="0" w:color="auto"/>
        <w:left w:val="none" w:sz="0" w:space="0" w:color="auto"/>
        <w:bottom w:val="none" w:sz="0" w:space="0" w:color="auto"/>
        <w:right w:val="none" w:sz="0" w:space="0" w:color="auto"/>
      </w:divBdr>
    </w:div>
    <w:div w:id="1824197963">
      <w:marLeft w:val="0"/>
      <w:marRight w:val="0"/>
      <w:marTop w:val="0"/>
      <w:marBottom w:val="0"/>
      <w:divBdr>
        <w:top w:val="none" w:sz="0" w:space="0" w:color="auto"/>
        <w:left w:val="none" w:sz="0" w:space="0" w:color="auto"/>
        <w:bottom w:val="none" w:sz="0" w:space="0" w:color="auto"/>
        <w:right w:val="none" w:sz="0" w:space="0" w:color="auto"/>
      </w:divBdr>
      <w:divsChild>
        <w:div w:id="1310089144">
          <w:marLeft w:val="0"/>
          <w:marRight w:val="0"/>
          <w:marTop w:val="0"/>
          <w:marBottom w:val="0"/>
          <w:divBdr>
            <w:top w:val="none" w:sz="0" w:space="0" w:color="auto"/>
            <w:left w:val="none" w:sz="0" w:space="0" w:color="auto"/>
            <w:bottom w:val="none" w:sz="0" w:space="0" w:color="auto"/>
            <w:right w:val="none" w:sz="0" w:space="0" w:color="auto"/>
          </w:divBdr>
        </w:div>
        <w:div w:id="997613157">
          <w:marLeft w:val="0"/>
          <w:marRight w:val="0"/>
          <w:marTop w:val="0"/>
          <w:marBottom w:val="0"/>
          <w:divBdr>
            <w:top w:val="none" w:sz="0" w:space="0" w:color="auto"/>
            <w:left w:val="none" w:sz="0" w:space="0" w:color="auto"/>
            <w:bottom w:val="none" w:sz="0" w:space="0" w:color="auto"/>
            <w:right w:val="none" w:sz="0" w:space="0" w:color="auto"/>
          </w:divBdr>
        </w:div>
      </w:divsChild>
    </w:div>
    <w:div w:id="1958757633">
      <w:marLeft w:val="0"/>
      <w:marRight w:val="0"/>
      <w:marTop w:val="0"/>
      <w:marBottom w:val="0"/>
      <w:divBdr>
        <w:top w:val="none" w:sz="0" w:space="0" w:color="auto"/>
        <w:left w:val="none" w:sz="0" w:space="0" w:color="auto"/>
        <w:bottom w:val="none" w:sz="0" w:space="0" w:color="auto"/>
        <w:right w:val="none" w:sz="0" w:space="0" w:color="auto"/>
      </w:divBdr>
    </w:div>
    <w:div w:id="2061320700">
      <w:marLeft w:val="0"/>
      <w:marRight w:val="0"/>
      <w:marTop w:val="0"/>
      <w:marBottom w:val="0"/>
      <w:divBdr>
        <w:top w:val="none" w:sz="0" w:space="0" w:color="auto"/>
        <w:left w:val="none" w:sz="0" w:space="0" w:color="auto"/>
        <w:bottom w:val="none" w:sz="0" w:space="0" w:color="auto"/>
        <w:right w:val="none" w:sz="0" w:space="0" w:color="auto"/>
      </w:divBdr>
    </w:div>
    <w:div w:id="2123574735">
      <w:marLeft w:val="0"/>
      <w:marRight w:val="0"/>
      <w:marTop w:val="0"/>
      <w:marBottom w:val="0"/>
      <w:divBdr>
        <w:top w:val="none" w:sz="0" w:space="0" w:color="auto"/>
        <w:left w:val="none" w:sz="0" w:space="0" w:color="auto"/>
        <w:bottom w:val="none" w:sz="0" w:space="0" w:color="auto"/>
        <w:right w:val="none" w:sz="0" w:space="0" w:color="auto"/>
      </w:divBdr>
      <w:divsChild>
        <w:div w:id="639849540">
          <w:marLeft w:val="0"/>
          <w:marRight w:val="0"/>
          <w:marTop w:val="0"/>
          <w:marBottom w:val="0"/>
          <w:divBdr>
            <w:top w:val="none" w:sz="0" w:space="0" w:color="auto"/>
            <w:left w:val="none" w:sz="0" w:space="0" w:color="auto"/>
            <w:bottom w:val="none" w:sz="0" w:space="0" w:color="auto"/>
            <w:right w:val="none" w:sz="0" w:space="0" w:color="auto"/>
          </w:divBdr>
        </w:div>
        <w:div w:id="1644771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pio.uark.edu/civilrights/lessonplans/FaubusSpeechLessonPlan.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outh.unc.edu/sohp/C-0044/menu.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scourts.gov/EducationalResources/ConstitutionResources/LegalLandmarks/HistoryOfBrownVBoardOfEducation.aspx" TargetMode="External"/><Relationship Id="rId4" Type="http://schemas.openxmlformats.org/officeDocument/2006/relationships/settings" Target="settings.xml"/><Relationship Id="rId9" Type="http://schemas.openxmlformats.org/officeDocument/2006/relationships/hyperlink" Target="http://www.nationalcenter.org/brown.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A596C-D2DE-4263-85D4-E3FCA6E76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6</Pages>
  <Words>1183</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41</cp:revision>
  <dcterms:created xsi:type="dcterms:W3CDTF">2012-09-10T21:43:00Z</dcterms:created>
  <dcterms:modified xsi:type="dcterms:W3CDTF">2012-10-06T13:55:00Z</dcterms:modified>
</cp:coreProperties>
</file>